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EA781" w14:textId="77777777" w:rsidR="00BF6F7F" w:rsidRDefault="00BF6F7F" w:rsidP="004B6AC3">
      <w:pPr>
        <w:jc w:val="both"/>
        <w:outlineLvl w:val="0"/>
        <w:rPr>
          <w:rFonts w:ascii="Helvetica" w:hAnsi="Helvetica"/>
          <w:sz w:val="22"/>
          <w:szCs w:val="29"/>
          <w:lang w:val="de-CH"/>
        </w:rPr>
      </w:pPr>
    </w:p>
    <w:p w14:paraId="79025665" w14:textId="77777777" w:rsidR="00082866" w:rsidRDefault="00082866" w:rsidP="004B6AC3">
      <w:pPr>
        <w:jc w:val="both"/>
        <w:outlineLvl w:val="0"/>
        <w:rPr>
          <w:rFonts w:ascii="Helvetica" w:hAnsi="Helvetica"/>
          <w:sz w:val="22"/>
          <w:szCs w:val="29"/>
          <w:lang w:val="de-CH"/>
        </w:rPr>
      </w:pPr>
    </w:p>
    <w:p w14:paraId="42496926" w14:textId="310D9348" w:rsidR="007672D9" w:rsidRPr="004B6AC3" w:rsidRDefault="007672D9" w:rsidP="004B6AC3">
      <w:pPr>
        <w:jc w:val="both"/>
        <w:outlineLvl w:val="0"/>
        <w:rPr>
          <w:rFonts w:ascii="Helvetica" w:hAnsi="Helvetica"/>
          <w:sz w:val="22"/>
          <w:szCs w:val="29"/>
          <w:lang w:val="de-CH"/>
        </w:rPr>
      </w:pPr>
      <w:r w:rsidRPr="004B6AC3">
        <w:rPr>
          <w:rFonts w:ascii="Helvetica" w:hAnsi="Helvetica"/>
          <w:sz w:val="22"/>
          <w:szCs w:val="29"/>
          <w:lang w:val="de-CH"/>
        </w:rPr>
        <w:t>An die Medien</w:t>
      </w:r>
    </w:p>
    <w:p w14:paraId="143E31EA" w14:textId="53E76472" w:rsidR="007672D9" w:rsidRPr="004B6AC3" w:rsidRDefault="007672D9" w:rsidP="004B6AC3">
      <w:pPr>
        <w:jc w:val="both"/>
        <w:outlineLvl w:val="0"/>
        <w:rPr>
          <w:rFonts w:ascii="Helvetica" w:hAnsi="Helvetica"/>
          <w:sz w:val="22"/>
          <w:szCs w:val="29"/>
          <w:lang w:val="de-CH"/>
        </w:rPr>
      </w:pPr>
      <w:r w:rsidRPr="004B6AC3">
        <w:rPr>
          <w:rFonts w:ascii="Helvetica" w:hAnsi="Helvetica"/>
          <w:sz w:val="22"/>
          <w:szCs w:val="29"/>
          <w:lang w:val="de-CH"/>
        </w:rPr>
        <w:t>Zur sofortigen Veröffentlichung</w:t>
      </w:r>
    </w:p>
    <w:p w14:paraId="4E8809A8" w14:textId="77777777" w:rsidR="007672D9" w:rsidRDefault="007672D9" w:rsidP="00E10F93">
      <w:pPr>
        <w:jc w:val="both"/>
        <w:rPr>
          <w:rFonts w:ascii="Helvetica" w:hAnsi="Helvetica"/>
          <w:sz w:val="22"/>
          <w:szCs w:val="29"/>
          <w:lang w:val="de-CH"/>
        </w:rPr>
      </w:pPr>
    </w:p>
    <w:p w14:paraId="074CE745" w14:textId="77777777" w:rsidR="00BF6F7F" w:rsidRDefault="00BF6F7F" w:rsidP="00E10F93">
      <w:pPr>
        <w:jc w:val="both"/>
        <w:rPr>
          <w:rFonts w:ascii="Helvetica" w:hAnsi="Helvetica"/>
          <w:sz w:val="22"/>
          <w:szCs w:val="29"/>
          <w:lang w:val="de-CH"/>
        </w:rPr>
      </w:pPr>
    </w:p>
    <w:p w14:paraId="5D2D57A0" w14:textId="77777777" w:rsidR="004B6AC3" w:rsidRDefault="004B6AC3" w:rsidP="00E10F93">
      <w:pPr>
        <w:jc w:val="both"/>
        <w:rPr>
          <w:rFonts w:ascii="Helvetica" w:hAnsi="Helvetica"/>
          <w:b/>
          <w:szCs w:val="29"/>
          <w:lang w:val="de-CH"/>
        </w:rPr>
      </w:pPr>
    </w:p>
    <w:p w14:paraId="26F354F2" w14:textId="77777777" w:rsidR="00082866" w:rsidRDefault="00082866" w:rsidP="00E10F93">
      <w:pPr>
        <w:jc w:val="both"/>
        <w:rPr>
          <w:rFonts w:ascii="Helvetica" w:hAnsi="Helvetica"/>
          <w:b/>
          <w:sz w:val="25"/>
          <w:szCs w:val="25"/>
          <w:lang w:val="de-CH"/>
        </w:rPr>
      </w:pPr>
    </w:p>
    <w:p w14:paraId="1553A1F6" w14:textId="09FAF6D9" w:rsidR="007672D9" w:rsidRPr="007672D9" w:rsidRDefault="007672D9" w:rsidP="00E10F93">
      <w:pPr>
        <w:jc w:val="both"/>
        <w:rPr>
          <w:rFonts w:ascii="Helvetica" w:hAnsi="Helvetica"/>
          <w:b/>
          <w:sz w:val="25"/>
          <w:szCs w:val="25"/>
          <w:lang w:val="de-CH"/>
        </w:rPr>
      </w:pPr>
      <w:r w:rsidRPr="007672D9">
        <w:rPr>
          <w:rFonts w:ascii="Helvetica" w:hAnsi="Helvetica"/>
          <w:b/>
          <w:sz w:val="25"/>
          <w:szCs w:val="25"/>
          <w:lang w:val="de-CH"/>
        </w:rPr>
        <w:t xml:space="preserve">Schiedsgerichtshof SCAI zu Bank </w:t>
      </w:r>
      <w:proofErr w:type="spellStart"/>
      <w:r w:rsidRPr="007672D9">
        <w:rPr>
          <w:rFonts w:ascii="Helvetica" w:hAnsi="Helvetica"/>
          <w:b/>
          <w:sz w:val="25"/>
          <w:szCs w:val="25"/>
          <w:lang w:val="de-CH"/>
        </w:rPr>
        <w:t>Arner</w:t>
      </w:r>
      <w:proofErr w:type="spellEnd"/>
      <w:r w:rsidRPr="007672D9">
        <w:rPr>
          <w:rFonts w:ascii="Helvetica" w:hAnsi="Helvetica"/>
          <w:b/>
          <w:sz w:val="25"/>
          <w:szCs w:val="25"/>
          <w:lang w:val="de-CH"/>
        </w:rPr>
        <w:t xml:space="preserve">-Akquisition: Kaufvertragsauflösung durch IXE Capital und Alejandro Garcia war </w:t>
      </w:r>
      <w:r w:rsidR="00E75627">
        <w:rPr>
          <w:rFonts w:ascii="Helvetica" w:hAnsi="Helvetica"/>
          <w:b/>
          <w:sz w:val="25"/>
          <w:szCs w:val="25"/>
          <w:lang w:val="de-CH"/>
        </w:rPr>
        <w:t>rechtens.</w:t>
      </w:r>
    </w:p>
    <w:p w14:paraId="4FB2DAC2" w14:textId="77777777" w:rsidR="002558BA" w:rsidRPr="008B2072" w:rsidRDefault="002558BA" w:rsidP="00E10F93">
      <w:pPr>
        <w:jc w:val="both"/>
        <w:rPr>
          <w:rFonts w:ascii="Helvetica" w:hAnsi="Helvetica"/>
          <w:i/>
          <w:sz w:val="22"/>
          <w:szCs w:val="28"/>
          <w:lang w:val="de-CH"/>
        </w:rPr>
      </w:pPr>
    </w:p>
    <w:p w14:paraId="600E7D30" w14:textId="77777777" w:rsidR="00082866" w:rsidRDefault="00082866" w:rsidP="00E10F93">
      <w:pPr>
        <w:jc w:val="both"/>
        <w:rPr>
          <w:rFonts w:ascii="Helvetica" w:hAnsi="Helvetica"/>
          <w:i/>
          <w:lang w:val="de-CH"/>
        </w:rPr>
      </w:pPr>
    </w:p>
    <w:p w14:paraId="31541B00" w14:textId="73A6BE17" w:rsidR="00427B86" w:rsidRPr="00082866" w:rsidRDefault="00FE7B01" w:rsidP="00E10F93">
      <w:pPr>
        <w:jc w:val="both"/>
        <w:rPr>
          <w:rFonts w:ascii="Helvetica" w:hAnsi="Helvetica"/>
          <w:i/>
          <w:lang w:val="de-CH"/>
        </w:rPr>
      </w:pPr>
      <w:r w:rsidRPr="00082866">
        <w:rPr>
          <w:rFonts w:ascii="Helvetica" w:hAnsi="Helvetica"/>
          <w:i/>
          <w:lang w:val="de-CH"/>
        </w:rPr>
        <w:t xml:space="preserve">Zürich, </w:t>
      </w:r>
      <w:r w:rsidR="002539EE" w:rsidRPr="00082866">
        <w:rPr>
          <w:rFonts w:ascii="Helvetica" w:hAnsi="Helvetica"/>
          <w:i/>
          <w:lang w:val="de-CH"/>
        </w:rPr>
        <w:t>1</w:t>
      </w:r>
      <w:r w:rsidR="00CD57B2" w:rsidRPr="00082866">
        <w:rPr>
          <w:rFonts w:ascii="Helvetica" w:hAnsi="Helvetica"/>
          <w:i/>
          <w:lang w:val="de-CH"/>
        </w:rPr>
        <w:t>6</w:t>
      </w:r>
      <w:r w:rsidRPr="00082866">
        <w:rPr>
          <w:rFonts w:ascii="Helvetica" w:hAnsi="Helvetica"/>
          <w:i/>
          <w:lang w:val="de-CH"/>
        </w:rPr>
        <w:t xml:space="preserve">. Januar 2019: </w:t>
      </w:r>
      <w:r w:rsidR="002E0A09" w:rsidRPr="00082866">
        <w:rPr>
          <w:rFonts w:ascii="Helvetica" w:hAnsi="Helvetica"/>
          <w:i/>
          <w:lang w:val="de-CH"/>
        </w:rPr>
        <w:t>Mit Urteil vom</w:t>
      </w:r>
      <w:r w:rsidR="009823A1" w:rsidRPr="00082866">
        <w:rPr>
          <w:rFonts w:ascii="Helvetica" w:hAnsi="Helvetica"/>
          <w:i/>
          <w:lang w:val="de-CH"/>
        </w:rPr>
        <w:t xml:space="preserve"> 21. Dezember </w:t>
      </w:r>
      <w:r w:rsidR="00E10F93" w:rsidRPr="00082866">
        <w:rPr>
          <w:rFonts w:ascii="Helvetica" w:hAnsi="Helvetica"/>
          <w:i/>
          <w:lang w:val="de-CH"/>
        </w:rPr>
        <w:t xml:space="preserve">2018 </w:t>
      </w:r>
      <w:r w:rsidR="002E0A09" w:rsidRPr="00082866">
        <w:rPr>
          <w:rFonts w:ascii="Helvetica" w:hAnsi="Helvetica"/>
          <w:i/>
          <w:lang w:val="de-CH"/>
        </w:rPr>
        <w:t>kam der</w:t>
      </w:r>
      <w:r w:rsidR="00FA3D1F" w:rsidRPr="00082866">
        <w:rPr>
          <w:rFonts w:ascii="Helvetica" w:hAnsi="Helvetica"/>
          <w:i/>
          <w:lang w:val="de-CH"/>
        </w:rPr>
        <w:t xml:space="preserve"> Schiedsgerichtshof SCAI (Swiss Chambers’</w:t>
      </w:r>
      <w:r w:rsidR="00575BC4" w:rsidRPr="00082866">
        <w:rPr>
          <w:rFonts w:ascii="Helvetica" w:hAnsi="Helvetica"/>
          <w:i/>
          <w:lang w:val="de-CH"/>
        </w:rPr>
        <w:t xml:space="preserve"> Arbitration Institution), der sich in einer umfassenden und </w:t>
      </w:r>
      <w:r w:rsidR="002E0A09" w:rsidRPr="00082866">
        <w:rPr>
          <w:rFonts w:ascii="Helvetica" w:hAnsi="Helvetica"/>
          <w:i/>
          <w:lang w:val="de-CH"/>
        </w:rPr>
        <w:t xml:space="preserve">zweijährigen </w:t>
      </w:r>
      <w:r w:rsidR="00575BC4" w:rsidRPr="00082866">
        <w:rPr>
          <w:rFonts w:ascii="Helvetica" w:hAnsi="Helvetica"/>
          <w:i/>
          <w:lang w:val="de-CH"/>
        </w:rPr>
        <w:t>Untersuchung mit dem Rückzug des Investors IXE Capital</w:t>
      </w:r>
      <w:r w:rsidR="00AD7BB2" w:rsidRPr="00082866">
        <w:rPr>
          <w:rFonts w:ascii="Helvetica" w:hAnsi="Helvetica"/>
          <w:i/>
          <w:lang w:val="de-CH"/>
        </w:rPr>
        <w:t xml:space="preserve"> und dessen Inhaber Alejandro Garcia</w:t>
      </w:r>
      <w:r w:rsidR="00575BC4" w:rsidRPr="00082866">
        <w:rPr>
          <w:rFonts w:ascii="Helvetica" w:hAnsi="Helvetica"/>
          <w:i/>
          <w:lang w:val="de-CH"/>
        </w:rPr>
        <w:t xml:space="preserve"> von dem Kauf der Schwei</w:t>
      </w:r>
      <w:r w:rsidR="000F46E6" w:rsidRPr="00082866">
        <w:rPr>
          <w:rFonts w:ascii="Helvetica" w:hAnsi="Helvetica"/>
          <w:i/>
          <w:lang w:val="de-CH"/>
        </w:rPr>
        <w:t xml:space="preserve">zerischen </w:t>
      </w:r>
      <w:proofErr w:type="spellStart"/>
      <w:r w:rsidR="000F46E6" w:rsidRPr="00082866">
        <w:rPr>
          <w:rFonts w:ascii="Helvetica" w:hAnsi="Helvetica"/>
          <w:i/>
          <w:lang w:val="de-CH"/>
        </w:rPr>
        <w:t>Arner</w:t>
      </w:r>
      <w:proofErr w:type="spellEnd"/>
      <w:r w:rsidR="000F46E6" w:rsidRPr="00082866">
        <w:rPr>
          <w:rFonts w:ascii="Helvetica" w:hAnsi="Helvetica"/>
          <w:i/>
          <w:lang w:val="de-CH"/>
        </w:rPr>
        <w:t xml:space="preserve"> </w:t>
      </w:r>
      <w:r w:rsidR="00575BC4" w:rsidRPr="00082866">
        <w:rPr>
          <w:rFonts w:ascii="Helvetica" w:hAnsi="Helvetica"/>
          <w:i/>
          <w:lang w:val="de-CH"/>
        </w:rPr>
        <w:t xml:space="preserve">Bank befasste, zum Schluss, dass die </w:t>
      </w:r>
      <w:r w:rsidR="00910FA0" w:rsidRPr="00082866">
        <w:rPr>
          <w:rFonts w:ascii="Helvetica" w:hAnsi="Helvetica"/>
          <w:i/>
          <w:lang w:val="de-CH"/>
        </w:rPr>
        <w:t>Kaufv</w:t>
      </w:r>
      <w:r w:rsidR="00575BC4" w:rsidRPr="00082866">
        <w:rPr>
          <w:rFonts w:ascii="Helvetica" w:hAnsi="Helvetica"/>
          <w:i/>
          <w:lang w:val="de-CH"/>
        </w:rPr>
        <w:t xml:space="preserve">ertragsauflösung </w:t>
      </w:r>
      <w:r w:rsidR="00B00BC9" w:rsidRPr="00082866">
        <w:rPr>
          <w:rFonts w:ascii="Helvetica" w:hAnsi="Helvetica"/>
          <w:i/>
          <w:lang w:val="de-CH"/>
        </w:rPr>
        <w:t>durch</w:t>
      </w:r>
      <w:r w:rsidR="00575BC4" w:rsidRPr="00082866">
        <w:rPr>
          <w:rFonts w:ascii="Helvetica" w:hAnsi="Helvetica"/>
          <w:i/>
          <w:lang w:val="de-CH"/>
        </w:rPr>
        <w:t xml:space="preserve"> Alejandro Garcia </w:t>
      </w:r>
      <w:r w:rsidR="00E75627" w:rsidRPr="00082866">
        <w:rPr>
          <w:rFonts w:ascii="Helvetica" w:hAnsi="Helvetica"/>
          <w:i/>
          <w:lang w:val="de-CH"/>
        </w:rPr>
        <w:t>rechtens</w:t>
      </w:r>
      <w:r w:rsidR="00575BC4" w:rsidRPr="00082866">
        <w:rPr>
          <w:rFonts w:ascii="Helvetica" w:hAnsi="Helvetica"/>
          <w:i/>
          <w:lang w:val="de-CH"/>
        </w:rPr>
        <w:t xml:space="preserve"> war. </w:t>
      </w:r>
    </w:p>
    <w:p w14:paraId="1B35A978" w14:textId="77777777" w:rsidR="007672D9" w:rsidRPr="00082866" w:rsidRDefault="007672D9" w:rsidP="00E10F93">
      <w:pPr>
        <w:jc w:val="both"/>
        <w:rPr>
          <w:rFonts w:ascii="Helvetica" w:hAnsi="Helvetica"/>
          <w:lang w:val="de-CH"/>
        </w:rPr>
      </w:pPr>
    </w:p>
    <w:p w14:paraId="5E7ACDF2" w14:textId="1F4911AB" w:rsidR="00642703" w:rsidRPr="00082866" w:rsidRDefault="00642703" w:rsidP="004B6AC3">
      <w:pPr>
        <w:jc w:val="both"/>
        <w:outlineLvl w:val="0"/>
        <w:rPr>
          <w:rFonts w:ascii="Helvetica" w:hAnsi="Helvetica"/>
          <w:b/>
          <w:lang w:val="de-CH"/>
        </w:rPr>
      </w:pPr>
      <w:r w:rsidRPr="00082866">
        <w:rPr>
          <w:rFonts w:ascii="Helvetica" w:hAnsi="Helvetica"/>
          <w:b/>
          <w:lang w:val="de-CH"/>
        </w:rPr>
        <w:t>Ungerechtfertigte Reputationsschäden</w:t>
      </w:r>
      <w:r w:rsidR="007672D9" w:rsidRPr="00082866">
        <w:rPr>
          <w:rFonts w:ascii="Helvetica" w:hAnsi="Helvetica"/>
          <w:b/>
          <w:lang w:val="de-CH"/>
        </w:rPr>
        <w:t xml:space="preserve"> für Investor</w:t>
      </w:r>
    </w:p>
    <w:p w14:paraId="0DAAE687" w14:textId="7A44342B" w:rsidR="00F84C71" w:rsidRPr="00082866" w:rsidRDefault="00B00BC9" w:rsidP="00E10F93">
      <w:pPr>
        <w:jc w:val="both"/>
        <w:rPr>
          <w:rFonts w:ascii="Helvetica" w:hAnsi="Helvetica"/>
          <w:lang w:val="de-CH"/>
        </w:rPr>
      </w:pPr>
      <w:r w:rsidRPr="00082866">
        <w:rPr>
          <w:rFonts w:ascii="Helvetica" w:hAnsi="Helvetica"/>
          <w:lang w:val="de-CH"/>
        </w:rPr>
        <w:t>Als Folge dieses Urteils erhielt Alejandro Garcia i</w:t>
      </w:r>
      <w:r w:rsidR="0062670D" w:rsidRPr="00082866">
        <w:rPr>
          <w:rFonts w:ascii="Helvetica" w:hAnsi="Helvetica"/>
          <w:lang w:val="de-CH"/>
        </w:rPr>
        <w:t xml:space="preserve">m Gegenzug zur Rückgabe der erworbenen Minderheitsanteile den Grossteil des von ihm investierten Kapitals zurückerstattet. </w:t>
      </w:r>
      <w:r w:rsidR="003309C2" w:rsidRPr="00082866">
        <w:rPr>
          <w:rFonts w:ascii="Helvetica" w:hAnsi="Helvetica"/>
          <w:lang w:val="de-CH"/>
        </w:rPr>
        <w:t xml:space="preserve">Zusätzlich wurden sämtliche </w:t>
      </w:r>
      <w:r w:rsidRPr="00082866">
        <w:rPr>
          <w:rFonts w:ascii="Helvetica" w:hAnsi="Helvetica"/>
          <w:lang w:val="de-CH"/>
        </w:rPr>
        <w:t xml:space="preserve">in diesem Zusammenhang </w:t>
      </w:r>
      <w:r w:rsidR="009F21EC" w:rsidRPr="00082866">
        <w:rPr>
          <w:rFonts w:ascii="Helvetica" w:hAnsi="Helvetica"/>
          <w:lang w:val="de-CH"/>
        </w:rPr>
        <w:t xml:space="preserve">von der Gegenpartei </w:t>
      </w:r>
      <w:r w:rsidRPr="00082866">
        <w:rPr>
          <w:rFonts w:ascii="Helvetica" w:hAnsi="Helvetica"/>
          <w:lang w:val="de-CH"/>
        </w:rPr>
        <w:t xml:space="preserve">eingeleiteten </w:t>
      </w:r>
      <w:r w:rsidR="00AD7BB2" w:rsidRPr="00082866">
        <w:rPr>
          <w:rFonts w:ascii="Helvetica" w:hAnsi="Helvetica"/>
          <w:lang w:val="de-CH"/>
        </w:rPr>
        <w:t>Verfahren gegen den Investo</w:t>
      </w:r>
      <w:r w:rsidR="00B91396" w:rsidRPr="00082866">
        <w:rPr>
          <w:rFonts w:ascii="Helvetica" w:hAnsi="Helvetica"/>
          <w:lang w:val="de-CH"/>
        </w:rPr>
        <w:t>r eingestellt</w:t>
      </w:r>
      <w:r w:rsidR="00AD7BB2" w:rsidRPr="00082866">
        <w:rPr>
          <w:rFonts w:ascii="Helvetica" w:hAnsi="Helvetica"/>
          <w:lang w:val="de-CH"/>
        </w:rPr>
        <w:t xml:space="preserve"> und </w:t>
      </w:r>
      <w:r w:rsidR="001A6719" w:rsidRPr="00082866">
        <w:rPr>
          <w:rFonts w:ascii="Helvetica" w:hAnsi="Helvetica"/>
          <w:lang w:val="de-CH"/>
        </w:rPr>
        <w:t>Betreibungseintragungen gelöscht</w:t>
      </w:r>
      <w:r w:rsidR="00322B18" w:rsidRPr="00082866">
        <w:rPr>
          <w:rFonts w:ascii="Helvetica" w:hAnsi="Helvetica"/>
          <w:lang w:val="de-CH"/>
        </w:rPr>
        <w:t>.</w:t>
      </w:r>
      <w:r w:rsidR="00923A0C" w:rsidRPr="00082866">
        <w:rPr>
          <w:rFonts w:ascii="Helvetica" w:hAnsi="Helvetica"/>
          <w:lang w:val="de-CH"/>
        </w:rPr>
        <w:t xml:space="preserve"> </w:t>
      </w:r>
      <w:r w:rsidR="00427B86" w:rsidRPr="00082866">
        <w:rPr>
          <w:rFonts w:ascii="Helvetica" w:hAnsi="Helvetica"/>
          <w:lang w:val="de-CH"/>
        </w:rPr>
        <w:t>Der Entscheid des</w:t>
      </w:r>
      <w:r w:rsidR="00E57FC8" w:rsidRPr="00082866">
        <w:rPr>
          <w:rFonts w:ascii="Helvetica" w:hAnsi="Helvetica"/>
          <w:lang w:val="de-CH"/>
        </w:rPr>
        <w:t xml:space="preserve"> Schiedsgerichtshofs setzt den Schlusspunkt unter ein </w:t>
      </w:r>
      <w:r w:rsidR="009D1E95" w:rsidRPr="00082866">
        <w:rPr>
          <w:rFonts w:ascii="Helvetica" w:hAnsi="Helvetica"/>
          <w:lang w:val="de-CH"/>
        </w:rPr>
        <w:t xml:space="preserve">langwieriges </w:t>
      </w:r>
      <w:r w:rsidR="005E067F" w:rsidRPr="00082866">
        <w:rPr>
          <w:rFonts w:ascii="Helvetica" w:hAnsi="Helvetica"/>
          <w:lang w:val="de-CH"/>
        </w:rPr>
        <w:t>Verfahren mit schädlichen Auswirkungen auf</w:t>
      </w:r>
      <w:r w:rsidR="00E57FC8" w:rsidRPr="00082866">
        <w:rPr>
          <w:rFonts w:ascii="Helvetica" w:hAnsi="Helvetica"/>
          <w:lang w:val="de-CH"/>
        </w:rPr>
        <w:t xml:space="preserve"> </w:t>
      </w:r>
      <w:r w:rsidR="009D1E95" w:rsidRPr="00082866">
        <w:rPr>
          <w:rFonts w:ascii="Helvetica" w:hAnsi="Helvetica"/>
          <w:lang w:val="de-CH"/>
        </w:rPr>
        <w:t>den</w:t>
      </w:r>
      <w:r w:rsidR="00E57FC8" w:rsidRPr="00082866">
        <w:rPr>
          <w:rFonts w:ascii="Helvetica" w:hAnsi="Helvetica"/>
          <w:lang w:val="de-CH"/>
        </w:rPr>
        <w:t xml:space="preserve"> </w:t>
      </w:r>
      <w:r w:rsidR="005E067F" w:rsidRPr="00082866">
        <w:rPr>
          <w:rFonts w:ascii="Helvetica" w:hAnsi="Helvetica"/>
          <w:lang w:val="de-CH"/>
        </w:rPr>
        <w:t xml:space="preserve">Ruf des </w:t>
      </w:r>
      <w:r w:rsidR="00E57FC8" w:rsidRPr="00082866">
        <w:rPr>
          <w:rFonts w:ascii="Helvetica" w:hAnsi="Helvetica"/>
          <w:lang w:val="de-CH"/>
        </w:rPr>
        <w:t>mexikanischen Unternehmer</w:t>
      </w:r>
      <w:r w:rsidR="005E067F" w:rsidRPr="00082866">
        <w:rPr>
          <w:rFonts w:ascii="Helvetica" w:hAnsi="Helvetica"/>
          <w:lang w:val="de-CH"/>
        </w:rPr>
        <w:t>s</w:t>
      </w:r>
      <w:r w:rsidR="00E57FC8" w:rsidRPr="00082866">
        <w:rPr>
          <w:rFonts w:ascii="Helvetica" w:hAnsi="Helvetica"/>
          <w:lang w:val="de-CH"/>
        </w:rPr>
        <w:t xml:space="preserve"> und Investor</w:t>
      </w:r>
      <w:r w:rsidR="005E067F" w:rsidRPr="00082866">
        <w:rPr>
          <w:rFonts w:ascii="Helvetica" w:hAnsi="Helvetica"/>
          <w:lang w:val="de-CH"/>
        </w:rPr>
        <w:t>s</w:t>
      </w:r>
      <w:r w:rsidR="00E57FC8" w:rsidRPr="00082866">
        <w:rPr>
          <w:rFonts w:ascii="Helvetica" w:hAnsi="Helvetica"/>
          <w:lang w:val="de-CH"/>
        </w:rPr>
        <w:t xml:space="preserve"> Garcia</w:t>
      </w:r>
      <w:r w:rsidR="009D1E95" w:rsidRPr="00082866">
        <w:rPr>
          <w:rFonts w:ascii="Helvetica" w:hAnsi="Helvetica"/>
          <w:lang w:val="de-CH"/>
        </w:rPr>
        <w:t xml:space="preserve"> </w:t>
      </w:r>
      <w:r w:rsidR="00783CA3" w:rsidRPr="00082866">
        <w:rPr>
          <w:rFonts w:ascii="Helvetica" w:hAnsi="Helvetica"/>
          <w:lang w:val="de-CH"/>
        </w:rPr>
        <w:t>und das Familienunternehmen</w:t>
      </w:r>
      <w:r w:rsidR="00121FCB" w:rsidRPr="00082866">
        <w:rPr>
          <w:rFonts w:ascii="Helvetica" w:hAnsi="Helvetica"/>
          <w:lang w:val="de-CH"/>
        </w:rPr>
        <w:t xml:space="preserve">. </w:t>
      </w:r>
      <w:r w:rsidR="00C80BCC" w:rsidRPr="00082866">
        <w:rPr>
          <w:rFonts w:ascii="Helvetica" w:hAnsi="Helvetica"/>
          <w:lang w:val="de-CH"/>
        </w:rPr>
        <w:t>„</w:t>
      </w:r>
      <w:r w:rsidR="00121FCB" w:rsidRPr="00082866">
        <w:rPr>
          <w:rFonts w:ascii="Helvetica" w:hAnsi="Helvetica"/>
          <w:lang w:val="de-CH"/>
        </w:rPr>
        <w:t xml:space="preserve">Das </w:t>
      </w:r>
      <w:r w:rsidR="00A13249" w:rsidRPr="00082866">
        <w:rPr>
          <w:rFonts w:ascii="Helvetica" w:hAnsi="Helvetica"/>
          <w:lang w:val="de-CH"/>
        </w:rPr>
        <w:t>sich hinziehende</w:t>
      </w:r>
      <w:r w:rsidR="00121FCB" w:rsidRPr="00082866">
        <w:rPr>
          <w:rFonts w:ascii="Helvetica" w:hAnsi="Helvetica"/>
          <w:lang w:val="de-CH"/>
        </w:rPr>
        <w:t xml:space="preserve"> Verfahren und </w:t>
      </w:r>
      <w:r w:rsidR="00F10ED4" w:rsidRPr="00082866">
        <w:rPr>
          <w:rFonts w:ascii="Helvetica" w:hAnsi="Helvetica"/>
          <w:lang w:val="de-CH"/>
        </w:rPr>
        <w:t xml:space="preserve">die </w:t>
      </w:r>
      <w:r w:rsidR="00121FCB" w:rsidRPr="00082866">
        <w:rPr>
          <w:rFonts w:ascii="Helvetica" w:hAnsi="Helvetica"/>
          <w:lang w:val="de-CH"/>
        </w:rPr>
        <w:t>e</w:t>
      </w:r>
      <w:r w:rsidR="00F10ED4" w:rsidRPr="00082866">
        <w:rPr>
          <w:rFonts w:ascii="Helvetica" w:hAnsi="Helvetica"/>
          <w:lang w:val="de-CH"/>
        </w:rPr>
        <w:t>inseitig negative Medienberichterstattung</w:t>
      </w:r>
      <w:r w:rsidR="00121FCB" w:rsidRPr="00082866">
        <w:rPr>
          <w:rFonts w:ascii="Helvetica" w:hAnsi="Helvetica"/>
          <w:lang w:val="de-CH"/>
        </w:rPr>
        <w:t xml:space="preserve"> </w:t>
      </w:r>
      <w:r w:rsidR="002017BE" w:rsidRPr="00082866">
        <w:rPr>
          <w:rFonts w:ascii="Helvetica" w:hAnsi="Helvetica"/>
          <w:lang w:val="de-CH"/>
        </w:rPr>
        <w:t>beeinträchtigen</w:t>
      </w:r>
      <w:r w:rsidR="00C80BCC" w:rsidRPr="00082866">
        <w:rPr>
          <w:rFonts w:ascii="Helvetica" w:hAnsi="Helvetica"/>
          <w:lang w:val="de-CH"/>
        </w:rPr>
        <w:t xml:space="preserve"> </w:t>
      </w:r>
      <w:r w:rsidR="00A13249" w:rsidRPr="00082866">
        <w:rPr>
          <w:rFonts w:ascii="Helvetica" w:hAnsi="Helvetica"/>
          <w:lang w:val="de-CH"/>
        </w:rPr>
        <w:t>den Verlauf</w:t>
      </w:r>
      <w:r w:rsidR="002017BE" w:rsidRPr="00082866">
        <w:rPr>
          <w:rFonts w:ascii="Helvetica" w:hAnsi="Helvetica"/>
          <w:lang w:val="de-CH"/>
        </w:rPr>
        <w:t xml:space="preserve"> unserer Geschäfte massiv</w:t>
      </w:r>
      <w:r w:rsidR="00C80BCC" w:rsidRPr="00082866">
        <w:rPr>
          <w:rFonts w:ascii="Helvetica" w:hAnsi="Helvetica"/>
          <w:lang w:val="de-CH"/>
        </w:rPr>
        <w:t xml:space="preserve">“ </w:t>
      </w:r>
      <w:r w:rsidR="007C7905" w:rsidRPr="00082866">
        <w:rPr>
          <w:rFonts w:ascii="Helvetica" w:hAnsi="Helvetica"/>
          <w:lang w:val="de-CH"/>
        </w:rPr>
        <w:t>konstatiert</w:t>
      </w:r>
      <w:r w:rsidR="00C80BCC" w:rsidRPr="00082866">
        <w:rPr>
          <w:rFonts w:ascii="Helvetica" w:hAnsi="Helvetica"/>
          <w:lang w:val="de-CH"/>
        </w:rPr>
        <w:t xml:space="preserve"> Alejandro Garcia. </w:t>
      </w:r>
    </w:p>
    <w:p w14:paraId="428C3E8E" w14:textId="77777777" w:rsidR="00E57FC8" w:rsidRPr="00082866" w:rsidRDefault="00E57FC8" w:rsidP="00E10F93">
      <w:pPr>
        <w:jc w:val="both"/>
        <w:rPr>
          <w:rFonts w:ascii="Helvetica" w:hAnsi="Helvetica"/>
          <w:lang w:val="de-CH"/>
        </w:rPr>
      </w:pPr>
    </w:p>
    <w:p w14:paraId="0FEA0913" w14:textId="0CBD8982" w:rsidR="000056B4" w:rsidRPr="00082866" w:rsidRDefault="000056B4" w:rsidP="004B6AC3">
      <w:pPr>
        <w:jc w:val="both"/>
        <w:outlineLvl w:val="0"/>
        <w:rPr>
          <w:rFonts w:ascii="Helvetica" w:hAnsi="Helvetica"/>
          <w:b/>
          <w:lang w:val="de-CH"/>
        </w:rPr>
      </w:pPr>
      <w:r w:rsidRPr="00082866">
        <w:rPr>
          <w:rFonts w:ascii="Helvetica" w:hAnsi="Helvetica"/>
          <w:b/>
          <w:lang w:val="de-CH"/>
        </w:rPr>
        <w:t xml:space="preserve">Bankakquisition </w:t>
      </w:r>
      <w:r w:rsidR="00662878" w:rsidRPr="00082866">
        <w:rPr>
          <w:rFonts w:ascii="Helvetica" w:hAnsi="Helvetica"/>
          <w:b/>
          <w:lang w:val="de-CH"/>
        </w:rPr>
        <w:t>war</w:t>
      </w:r>
      <w:r w:rsidRPr="00082866">
        <w:rPr>
          <w:rFonts w:ascii="Helvetica" w:hAnsi="Helvetica"/>
          <w:b/>
          <w:lang w:val="de-CH"/>
        </w:rPr>
        <w:t xml:space="preserve"> strategischer Entscheid</w:t>
      </w:r>
    </w:p>
    <w:p w14:paraId="26E579E6" w14:textId="77777777" w:rsidR="00082866" w:rsidRDefault="00242996" w:rsidP="00E10F93">
      <w:pPr>
        <w:jc w:val="both"/>
        <w:rPr>
          <w:rFonts w:ascii="Helvetica" w:hAnsi="Helvetica"/>
          <w:lang w:val="de-CH"/>
        </w:rPr>
      </w:pPr>
      <w:r w:rsidRPr="00082866">
        <w:rPr>
          <w:rFonts w:ascii="Helvetica" w:hAnsi="Helvetica"/>
          <w:lang w:val="de-CH"/>
        </w:rPr>
        <w:t xml:space="preserve">Für seine Bereitschaft, in den Finanzstandort Schweiz zu investieren, musste </w:t>
      </w:r>
      <w:r w:rsidR="00C80BCC" w:rsidRPr="00082866">
        <w:rPr>
          <w:rFonts w:ascii="Helvetica" w:hAnsi="Helvetica"/>
          <w:lang w:val="de-CH"/>
        </w:rPr>
        <w:t>der Unternehmer</w:t>
      </w:r>
      <w:r w:rsidRPr="00082866">
        <w:rPr>
          <w:rFonts w:ascii="Helvetica" w:hAnsi="Helvetica"/>
          <w:lang w:val="de-CH"/>
        </w:rPr>
        <w:t xml:space="preserve"> einen hohen Preis bezahlen. </w:t>
      </w:r>
      <w:r w:rsidR="00A159DC" w:rsidRPr="00082866">
        <w:rPr>
          <w:rFonts w:ascii="Helvetica" w:hAnsi="Helvetica"/>
          <w:lang w:val="de-CH"/>
        </w:rPr>
        <w:t>Nach der Eröffnung der</w:t>
      </w:r>
      <w:r w:rsidR="00093199" w:rsidRPr="00082866">
        <w:rPr>
          <w:rFonts w:ascii="Helvetica" w:hAnsi="Helvetica"/>
          <w:lang w:val="de-CH"/>
        </w:rPr>
        <w:t xml:space="preserve"> IXE-Firmenzentrale in Zürich und der Umsiedlung von Alejandro Garcia und seiner Familie in die Schweiz </w:t>
      </w:r>
      <w:r w:rsidR="007A33D0" w:rsidRPr="00082866">
        <w:rPr>
          <w:rFonts w:ascii="Helvetica" w:hAnsi="Helvetica"/>
          <w:lang w:val="de-CH"/>
        </w:rPr>
        <w:t xml:space="preserve">hat </w:t>
      </w:r>
      <w:r w:rsidR="003F1AA7" w:rsidRPr="00082866">
        <w:rPr>
          <w:rFonts w:ascii="Helvetica" w:hAnsi="Helvetica"/>
          <w:lang w:val="de-CH"/>
        </w:rPr>
        <w:t>die im Agrar- und Rohstoffh</w:t>
      </w:r>
      <w:r w:rsidR="008361F2" w:rsidRPr="00082866">
        <w:rPr>
          <w:rFonts w:ascii="Helvetica" w:hAnsi="Helvetica"/>
          <w:lang w:val="de-CH"/>
        </w:rPr>
        <w:t xml:space="preserve">andel tätige Unternehmensgruppe </w:t>
      </w:r>
      <w:r w:rsidR="00016BA8" w:rsidRPr="00082866">
        <w:rPr>
          <w:rFonts w:ascii="Helvetica" w:hAnsi="Helvetica"/>
          <w:lang w:val="de-CH"/>
        </w:rPr>
        <w:t xml:space="preserve">aus unternehmensstrategischen Gründen </w:t>
      </w:r>
      <w:r w:rsidR="008361F2" w:rsidRPr="00082866">
        <w:rPr>
          <w:rFonts w:ascii="Helvetica" w:hAnsi="Helvetica"/>
          <w:lang w:val="de-CH"/>
        </w:rPr>
        <w:t xml:space="preserve">den Kauf einer Schweizer Bank verfolgt und mit </w:t>
      </w:r>
      <w:proofErr w:type="spellStart"/>
      <w:r w:rsidR="008361F2" w:rsidRPr="00082866">
        <w:rPr>
          <w:rFonts w:ascii="Helvetica" w:hAnsi="Helvetica"/>
          <w:lang w:val="de-CH"/>
        </w:rPr>
        <w:t>Arner</w:t>
      </w:r>
      <w:proofErr w:type="spellEnd"/>
      <w:r w:rsidR="008361F2" w:rsidRPr="00082866">
        <w:rPr>
          <w:rFonts w:ascii="Helvetica" w:hAnsi="Helvetica"/>
          <w:lang w:val="de-CH"/>
        </w:rPr>
        <w:t xml:space="preserve"> Bank</w:t>
      </w:r>
      <w:r w:rsidR="00E40516" w:rsidRPr="00082866">
        <w:rPr>
          <w:rFonts w:ascii="Helvetica" w:hAnsi="Helvetica"/>
          <w:lang w:val="de-CH"/>
        </w:rPr>
        <w:t xml:space="preserve"> schlussendlich eine Kaufvereinbarung getroffen. Nach </w:t>
      </w:r>
      <w:r w:rsidR="00CD57B2" w:rsidRPr="00082866">
        <w:rPr>
          <w:rFonts w:ascii="Helvetica" w:hAnsi="Helvetica"/>
          <w:lang w:val="de-CH"/>
        </w:rPr>
        <w:t xml:space="preserve">dem Kauf einer Minderheitsbeteiligung ist IXE Capital vertragskonform </w:t>
      </w:r>
      <w:r w:rsidR="005F0EEA" w:rsidRPr="00082866">
        <w:rPr>
          <w:rFonts w:ascii="Helvetica" w:hAnsi="Helvetica"/>
          <w:lang w:val="de-CH"/>
        </w:rPr>
        <w:t>vom Vertrag zurückgetreten</w:t>
      </w:r>
      <w:r w:rsidR="003F4A74" w:rsidRPr="00082866">
        <w:rPr>
          <w:rFonts w:ascii="Helvetica" w:hAnsi="Helvetica"/>
          <w:lang w:val="de-CH"/>
        </w:rPr>
        <w:t xml:space="preserve">. </w:t>
      </w:r>
      <w:r w:rsidR="002435AB" w:rsidRPr="00082866">
        <w:rPr>
          <w:rFonts w:ascii="Helvetica" w:hAnsi="Helvetica"/>
          <w:lang w:val="de-CH"/>
        </w:rPr>
        <w:t xml:space="preserve">Vorwürfe </w:t>
      </w:r>
      <w:r w:rsidR="00EA0B34" w:rsidRPr="00082866">
        <w:rPr>
          <w:rFonts w:ascii="Helvetica" w:hAnsi="Helvetica"/>
          <w:lang w:val="de-CH"/>
        </w:rPr>
        <w:t>bezüglich</w:t>
      </w:r>
      <w:r w:rsidR="002435AB" w:rsidRPr="00082866">
        <w:rPr>
          <w:rFonts w:ascii="Helvetica" w:hAnsi="Helvetica"/>
          <w:lang w:val="de-CH"/>
        </w:rPr>
        <w:t xml:space="preserve"> eines treuwidrigen Verhaltens des Investors gegenüber der FINMA </w:t>
      </w:r>
      <w:r w:rsidR="00CD57B2" w:rsidRPr="00082866">
        <w:rPr>
          <w:rFonts w:ascii="Helvetica" w:hAnsi="Helvetica"/>
          <w:lang w:val="de-CH"/>
        </w:rPr>
        <w:t xml:space="preserve">betreffend Mitwirkungspflichten und Vermögensangaben </w:t>
      </w:r>
      <w:r w:rsidR="00F574CB" w:rsidRPr="00082866">
        <w:rPr>
          <w:rFonts w:ascii="Helvetica" w:hAnsi="Helvetica"/>
          <w:lang w:val="de-CH"/>
        </w:rPr>
        <w:t xml:space="preserve">oder Verletzungen von </w:t>
      </w:r>
      <w:r w:rsidR="00CD57B2" w:rsidRPr="00082866">
        <w:rPr>
          <w:rFonts w:ascii="Helvetica" w:hAnsi="Helvetica"/>
          <w:lang w:val="de-CH"/>
        </w:rPr>
        <w:t xml:space="preserve">vertraglichen </w:t>
      </w:r>
      <w:r w:rsidR="00F574CB" w:rsidRPr="00082866">
        <w:rPr>
          <w:rFonts w:ascii="Helvetica" w:hAnsi="Helvetica"/>
          <w:lang w:val="de-CH"/>
        </w:rPr>
        <w:t xml:space="preserve">Vereinbarungen </w:t>
      </w:r>
      <w:r w:rsidR="002435AB" w:rsidRPr="00082866">
        <w:rPr>
          <w:rFonts w:ascii="Helvetica" w:hAnsi="Helvetica"/>
          <w:lang w:val="de-CH"/>
        </w:rPr>
        <w:t xml:space="preserve">wurden </w:t>
      </w:r>
      <w:r w:rsidR="00EA0B34" w:rsidRPr="00082866">
        <w:rPr>
          <w:rFonts w:ascii="Helvetica" w:hAnsi="Helvetica"/>
          <w:lang w:val="de-CH"/>
        </w:rPr>
        <w:t xml:space="preserve">vom Schiedsgerichtshof </w:t>
      </w:r>
      <w:r w:rsidR="002435AB" w:rsidRPr="00082866">
        <w:rPr>
          <w:rFonts w:ascii="Helvetica" w:hAnsi="Helvetica"/>
          <w:lang w:val="de-CH"/>
        </w:rPr>
        <w:t xml:space="preserve">nicht bestätigt und zurückgewiesen. </w:t>
      </w:r>
    </w:p>
    <w:p w14:paraId="396F496C" w14:textId="77777777" w:rsidR="00082866" w:rsidRDefault="00082866" w:rsidP="00E10F93">
      <w:pPr>
        <w:jc w:val="both"/>
        <w:rPr>
          <w:rFonts w:ascii="Helvetica" w:hAnsi="Helvetica"/>
          <w:lang w:val="de-CH"/>
        </w:rPr>
      </w:pPr>
    </w:p>
    <w:p w14:paraId="7D607831" w14:textId="77777777" w:rsidR="00082866" w:rsidRDefault="00082866" w:rsidP="00E10F93">
      <w:pPr>
        <w:jc w:val="both"/>
        <w:rPr>
          <w:rFonts w:ascii="Helvetica" w:hAnsi="Helvetica"/>
          <w:lang w:val="de-CH"/>
        </w:rPr>
      </w:pPr>
    </w:p>
    <w:p w14:paraId="78EFE656" w14:textId="77777777" w:rsidR="00082866" w:rsidRDefault="00082866" w:rsidP="00E10F93">
      <w:pPr>
        <w:jc w:val="both"/>
        <w:rPr>
          <w:rFonts w:ascii="Helvetica" w:hAnsi="Helvetica"/>
          <w:lang w:val="de-CH"/>
        </w:rPr>
      </w:pPr>
    </w:p>
    <w:p w14:paraId="266458DF" w14:textId="77777777" w:rsidR="00082866" w:rsidRDefault="00082866" w:rsidP="00E10F93">
      <w:pPr>
        <w:jc w:val="both"/>
        <w:rPr>
          <w:rFonts w:ascii="Helvetica" w:hAnsi="Helvetica"/>
          <w:lang w:val="de-CH"/>
        </w:rPr>
      </w:pPr>
    </w:p>
    <w:p w14:paraId="72B21E94" w14:textId="77777777" w:rsidR="00082866" w:rsidRDefault="00082866" w:rsidP="00E10F93">
      <w:pPr>
        <w:jc w:val="both"/>
        <w:rPr>
          <w:rFonts w:ascii="Helvetica" w:hAnsi="Helvetica"/>
          <w:lang w:val="de-CH"/>
        </w:rPr>
      </w:pPr>
    </w:p>
    <w:p w14:paraId="364BFD1E" w14:textId="77777777" w:rsidR="00082866" w:rsidRDefault="00082866" w:rsidP="00E10F93">
      <w:pPr>
        <w:jc w:val="both"/>
        <w:rPr>
          <w:rFonts w:ascii="Helvetica" w:hAnsi="Helvetica"/>
          <w:lang w:val="de-CH"/>
        </w:rPr>
      </w:pPr>
    </w:p>
    <w:p w14:paraId="1C3A2A5D" w14:textId="77777777" w:rsidR="00082866" w:rsidRDefault="00082866" w:rsidP="00E10F93">
      <w:pPr>
        <w:jc w:val="both"/>
        <w:rPr>
          <w:rFonts w:ascii="Helvetica" w:hAnsi="Helvetica"/>
          <w:lang w:val="de-CH"/>
        </w:rPr>
      </w:pPr>
    </w:p>
    <w:p w14:paraId="7E77E9AE" w14:textId="77777777" w:rsidR="00082866" w:rsidRDefault="00082866" w:rsidP="00E10F93">
      <w:pPr>
        <w:jc w:val="both"/>
        <w:rPr>
          <w:rFonts w:ascii="Helvetica" w:hAnsi="Helvetica"/>
          <w:lang w:val="de-CH"/>
        </w:rPr>
      </w:pPr>
    </w:p>
    <w:p w14:paraId="594CA561" w14:textId="77777777" w:rsidR="00082866" w:rsidRDefault="00082866" w:rsidP="00E10F93">
      <w:pPr>
        <w:jc w:val="both"/>
        <w:rPr>
          <w:rFonts w:ascii="Helvetica" w:hAnsi="Helvetica"/>
          <w:lang w:val="de-CH"/>
        </w:rPr>
      </w:pPr>
    </w:p>
    <w:p w14:paraId="082023B8" w14:textId="77777777" w:rsidR="00082866" w:rsidRDefault="00082866" w:rsidP="00E10F93">
      <w:pPr>
        <w:jc w:val="both"/>
        <w:rPr>
          <w:rFonts w:ascii="Helvetica" w:hAnsi="Helvetica"/>
          <w:lang w:val="de-CH"/>
        </w:rPr>
      </w:pPr>
    </w:p>
    <w:p w14:paraId="5406FC45" w14:textId="77777777" w:rsidR="00082866" w:rsidRDefault="00082866" w:rsidP="00E10F93">
      <w:pPr>
        <w:jc w:val="both"/>
        <w:rPr>
          <w:rFonts w:ascii="Helvetica" w:hAnsi="Helvetica"/>
          <w:lang w:val="de-CH"/>
        </w:rPr>
      </w:pPr>
    </w:p>
    <w:p w14:paraId="262ACAA7" w14:textId="4C822FC4" w:rsidR="00251EBE" w:rsidRPr="00082866" w:rsidRDefault="0079131C" w:rsidP="00E10F93">
      <w:pPr>
        <w:jc w:val="both"/>
        <w:rPr>
          <w:rFonts w:ascii="Helvetica" w:hAnsi="Helvetica"/>
          <w:lang w:val="de-CH"/>
        </w:rPr>
      </w:pPr>
      <w:r w:rsidRPr="00082866">
        <w:rPr>
          <w:rFonts w:ascii="Helvetica" w:hAnsi="Helvetica"/>
          <w:lang w:val="de-CH"/>
        </w:rPr>
        <w:t>Als Reaktion</w:t>
      </w:r>
      <w:r w:rsidR="004E06F0" w:rsidRPr="00082866">
        <w:rPr>
          <w:rFonts w:ascii="Helvetica" w:hAnsi="Helvetica"/>
          <w:lang w:val="de-CH"/>
        </w:rPr>
        <w:t xml:space="preserve"> auf den Rücktritt vom Vertrag </w:t>
      </w:r>
      <w:r w:rsidRPr="00082866">
        <w:rPr>
          <w:rFonts w:ascii="Helvetica" w:hAnsi="Helvetica"/>
          <w:lang w:val="de-CH"/>
        </w:rPr>
        <w:t>wurden IXE Capital sowie Alejandro Garcia persönlich</w:t>
      </w:r>
      <w:r w:rsidR="003F4A74" w:rsidRPr="00082866">
        <w:rPr>
          <w:rFonts w:ascii="Helvetica" w:hAnsi="Helvetica"/>
          <w:lang w:val="de-CH"/>
        </w:rPr>
        <w:t xml:space="preserve"> </w:t>
      </w:r>
      <w:r w:rsidRPr="00082866">
        <w:rPr>
          <w:rFonts w:ascii="Helvetica" w:hAnsi="Helvetica"/>
          <w:lang w:val="de-CH"/>
        </w:rPr>
        <w:t>von der Gegenpartei</w:t>
      </w:r>
      <w:r w:rsidR="00427B86" w:rsidRPr="00082866">
        <w:rPr>
          <w:rFonts w:ascii="Helvetica" w:hAnsi="Helvetica"/>
          <w:lang w:val="de-CH"/>
        </w:rPr>
        <w:t>, welche die Rückzahlung des</w:t>
      </w:r>
      <w:r w:rsidR="00674AB3" w:rsidRPr="00082866">
        <w:rPr>
          <w:rFonts w:ascii="Helvetica" w:hAnsi="Helvetica"/>
          <w:lang w:val="de-CH"/>
        </w:rPr>
        <w:t xml:space="preserve"> </w:t>
      </w:r>
      <w:r w:rsidR="00C80BCC" w:rsidRPr="00082866">
        <w:rPr>
          <w:rFonts w:ascii="Helvetica" w:hAnsi="Helvetica"/>
          <w:lang w:val="de-CH"/>
        </w:rPr>
        <w:t xml:space="preserve">von IXE Capital </w:t>
      </w:r>
      <w:r w:rsidR="00674AB3" w:rsidRPr="00082866">
        <w:rPr>
          <w:rFonts w:ascii="Helvetica" w:hAnsi="Helvetica"/>
          <w:lang w:val="de-CH"/>
        </w:rPr>
        <w:t>eingezahlten Kapitals verweigerte,</w:t>
      </w:r>
      <w:r w:rsidR="00991B28" w:rsidRPr="00082866">
        <w:rPr>
          <w:rFonts w:ascii="Helvetica" w:hAnsi="Helvetica"/>
          <w:lang w:val="de-CH"/>
        </w:rPr>
        <w:t xml:space="preserve"> </w:t>
      </w:r>
      <w:r w:rsidR="00413D97" w:rsidRPr="00082866">
        <w:rPr>
          <w:rFonts w:ascii="Helvetica" w:hAnsi="Helvetica"/>
          <w:lang w:val="de-CH"/>
        </w:rPr>
        <w:t xml:space="preserve">zusätzlich </w:t>
      </w:r>
      <w:r w:rsidR="00991B28" w:rsidRPr="00082866">
        <w:rPr>
          <w:rFonts w:ascii="Helvetica" w:hAnsi="Helvetica"/>
          <w:lang w:val="de-CH"/>
        </w:rPr>
        <w:t xml:space="preserve">mit Betreibungen in Millionenhöhe </w:t>
      </w:r>
      <w:r w:rsidR="00A6765A" w:rsidRPr="00082866">
        <w:rPr>
          <w:rFonts w:ascii="Helvetica" w:hAnsi="Helvetica"/>
          <w:lang w:val="de-CH"/>
        </w:rPr>
        <w:t xml:space="preserve">eingedeckt. Es dauerte </w:t>
      </w:r>
      <w:r w:rsidR="00C80BCC" w:rsidRPr="00082866">
        <w:rPr>
          <w:rFonts w:ascii="Helvetica" w:hAnsi="Helvetica"/>
          <w:lang w:val="de-CH"/>
        </w:rPr>
        <w:t xml:space="preserve">zudem </w:t>
      </w:r>
      <w:r w:rsidR="00A6765A" w:rsidRPr="00082866">
        <w:rPr>
          <w:rFonts w:ascii="Helvetica" w:hAnsi="Helvetica"/>
          <w:lang w:val="de-CH"/>
        </w:rPr>
        <w:t xml:space="preserve">nicht lange, bis </w:t>
      </w:r>
      <w:r w:rsidR="00413D97" w:rsidRPr="00082866">
        <w:rPr>
          <w:rFonts w:ascii="Helvetica" w:hAnsi="Helvetica"/>
          <w:lang w:val="de-CH"/>
        </w:rPr>
        <w:t xml:space="preserve">diverse </w:t>
      </w:r>
      <w:r w:rsidR="00A6765A" w:rsidRPr="00082866">
        <w:rPr>
          <w:rFonts w:ascii="Helvetica" w:hAnsi="Helvetica"/>
          <w:lang w:val="de-CH"/>
        </w:rPr>
        <w:t>Medien in einer Reihe von Artikeln angebliche</w:t>
      </w:r>
      <w:r w:rsidR="00F42369" w:rsidRPr="00082866">
        <w:rPr>
          <w:rFonts w:ascii="Helvetica" w:hAnsi="Helvetica"/>
          <w:lang w:val="de-CH"/>
        </w:rPr>
        <w:t xml:space="preserve"> und nicht der Wahrheit entsprechende</w:t>
      </w:r>
      <w:r w:rsidR="00A6765A" w:rsidRPr="00082866">
        <w:rPr>
          <w:rFonts w:ascii="Helvetica" w:hAnsi="Helvetica"/>
          <w:lang w:val="de-CH"/>
        </w:rPr>
        <w:t xml:space="preserve"> finanzielle Probleme auf Seiten des Investors als Gründe für dessen Rückzug </w:t>
      </w:r>
      <w:r w:rsidR="0097649B" w:rsidRPr="00082866">
        <w:rPr>
          <w:rFonts w:ascii="Helvetica" w:hAnsi="Helvetica"/>
          <w:lang w:val="de-CH"/>
        </w:rPr>
        <w:t xml:space="preserve">in den Raum stellten. </w:t>
      </w:r>
    </w:p>
    <w:p w14:paraId="244016DD" w14:textId="77777777" w:rsidR="00082866" w:rsidRDefault="00082866" w:rsidP="004B6AC3">
      <w:pPr>
        <w:jc w:val="both"/>
        <w:outlineLvl w:val="0"/>
        <w:rPr>
          <w:rFonts w:ascii="Helvetica" w:hAnsi="Helvetica"/>
          <w:b/>
          <w:lang w:val="de-CH"/>
        </w:rPr>
      </w:pPr>
    </w:p>
    <w:p w14:paraId="49B9D3E2" w14:textId="77777777" w:rsidR="00082866" w:rsidRDefault="00082866" w:rsidP="004B6AC3">
      <w:pPr>
        <w:jc w:val="both"/>
        <w:outlineLvl w:val="0"/>
        <w:rPr>
          <w:rFonts w:ascii="Helvetica" w:hAnsi="Helvetica"/>
          <w:b/>
          <w:lang w:val="de-CH"/>
        </w:rPr>
      </w:pPr>
    </w:p>
    <w:p w14:paraId="433D1972" w14:textId="73E3C306" w:rsidR="00A6765A" w:rsidRPr="00082866" w:rsidRDefault="00A6765A" w:rsidP="004B6AC3">
      <w:pPr>
        <w:jc w:val="both"/>
        <w:outlineLvl w:val="0"/>
        <w:rPr>
          <w:rFonts w:ascii="Helvetica" w:hAnsi="Helvetica"/>
          <w:b/>
          <w:lang w:val="de-CH"/>
        </w:rPr>
      </w:pPr>
      <w:r w:rsidRPr="00082866">
        <w:rPr>
          <w:rFonts w:ascii="Helvetica" w:hAnsi="Helvetica"/>
          <w:b/>
          <w:lang w:val="de-CH"/>
        </w:rPr>
        <w:t xml:space="preserve">Vollumfängliche Rehabilitierung, späte Genugtuung </w:t>
      </w:r>
    </w:p>
    <w:p w14:paraId="75A50DC7" w14:textId="6A504342" w:rsidR="000056B4" w:rsidRDefault="00A6765A" w:rsidP="00E10F93">
      <w:pPr>
        <w:jc w:val="both"/>
        <w:rPr>
          <w:rFonts w:ascii="Helvetica" w:hAnsi="Helvetica"/>
          <w:lang w:val="de-CH"/>
        </w:rPr>
      </w:pPr>
      <w:r w:rsidRPr="00082866">
        <w:rPr>
          <w:rFonts w:ascii="Helvetica" w:hAnsi="Helvetica"/>
          <w:lang w:val="de-CH"/>
        </w:rPr>
        <w:t>„Das Urteil des Schiedsgerichtshofs ist eine späte Genugtuung</w:t>
      </w:r>
      <w:r w:rsidR="008B2072" w:rsidRPr="00082866">
        <w:rPr>
          <w:rFonts w:ascii="Helvetica" w:hAnsi="Helvetica"/>
          <w:lang w:val="de-CH"/>
        </w:rPr>
        <w:t xml:space="preserve"> und Rehabilitierung</w:t>
      </w:r>
      <w:r w:rsidR="0097649B" w:rsidRPr="00082866">
        <w:rPr>
          <w:rFonts w:ascii="Helvetica" w:hAnsi="Helvetica"/>
          <w:lang w:val="de-CH"/>
        </w:rPr>
        <w:t xml:space="preserve"> </w:t>
      </w:r>
      <w:r w:rsidR="00B00D4A" w:rsidRPr="00082866">
        <w:rPr>
          <w:rFonts w:ascii="Helvetica" w:hAnsi="Helvetica"/>
          <w:lang w:val="de-CH"/>
        </w:rPr>
        <w:t>unserer</w:t>
      </w:r>
      <w:r w:rsidR="0097649B" w:rsidRPr="00082866">
        <w:rPr>
          <w:rFonts w:ascii="Helvetica" w:hAnsi="Helvetica"/>
          <w:lang w:val="de-CH"/>
        </w:rPr>
        <w:t xml:space="preserve"> Reputation</w:t>
      </w:r>
      <w:r w:rsidR="001068B3" w:rsidRPr="00082866">
        <w:rPr>
          <w:rFonts w:ascii="Helvetica" w:hAnsi="Helvetica"/>
          <w:lang w:val="de-CH"/>
        </w:rPr>
        <w:t>. Ich begrüsse</w:t>
      </w:r>
      <w:r w:rsidR="00B00D4A" w:rsidRPr="00082866">
        <w:rPr>
          <w:rFonts w:ascii="Helvetica" w:hAnsi="Helvetica"/>
          <w:lang w:val="de-CH"/>
        </w:rPr>
        <w:t xml:space="preserve"> es im Sinne der Eindeutigkeit des Beschlusses</w:t>
      </w:r>
      <w:r w:rsidR="001068B3" w:rsidRPr="00082866">
        <w:rPr>
          <w:rFonts w:ascii="Helvetica" w:hAnsi="Helvetica"/>
          <w:lang w:val="de-CH"/>
        </w:rPr>
        <w:t>, dass der Schiedsgerichtshof</w:t>
      </w:r>
      <w:r w:rsidR="00B00D4A" w:rsidRPr="00082866">
        <w:rPr>
          <w:rFonts w:ascii="Helvetica" w:hAnsi="Helvetica"/>
          <w:lang w:val="de-CH"/>
        </w:rPr>
        <w:t xml:space="preserve"> eine umfassende Untersuchung durchgeführt hat</w:t>
      </w:r>
      <w:r w:rsidR="00623B9A" w:rsidRPr="00082866">
        <w:rPr>
          <w:rFonts w:ascii="Helvetica" w:hAnsi="Helvetica"/>
          <w:lang w:val="de-CH"/>
        </w:rPr>
        <w:t>, die auch</w:t>
      </w:r>
      <w:r w:rsidR="00B00D4A" w:rsidRPr="00082866">
        <w:rPr>
          <w:rFonts w:ascii="Helvetica" w:hAnsi="Helvetica"/>
          <w:lang w:val="de-CH"/>
        </w:rPr>
        <w:t xml:space="preserve"> </w:t>
      </w:r>
      <w:r w:rsidR="00623B9A" w:rsidRPr="00082866">
        <w:rPr>
          <w:rFonts w:ascii="Helvetica" w:hAnsi="Helvetica"/>
          <w:lang w:val="de-CH"/>
        </w:rPr>
        <w:t>eine</w:t>
      </w:r>
      <w:r w:rsidR="00B00D4A" w:rsidRPr="00082866">
        <w:rPr>
          <w:rFonts w:ascii="Helvetica" w:hAnsi="Helvetica"/>
          <w:lang w:val="de-CH"/>
        </w:rPr>
        <w:t xml:space="preserve"> Zeugenanhörung im September 2018</w:t>
      </w:r>
      <w:r w:rsidR="00623B9A" w:rsidRPr="00082866">
        <w:rPr>
          <w:rFonts w:ascii="Helvetica" w:hAnsi="Helvetica"/>
          <w:lang w:val="de-CH"/>
        </w:rPr>
        <w:t xml:space="preserve"> beinhaltete</w:t>
      </w:r>
      <w:r w:rsidRPr="00082866">
        <w:rPr>
          <w:rFonts w:ascii="Helvetica" w:hAnsi="Helvetica"/>
          <w:lang w:val="de-CH"/>
        </w:rPr>
        <w:t>“</w:t>
      </w:r>
      <w:r w:rsidR="00B00D4A" w:rsidRPr="00082866">
        <w:rPr>
          <w:rFonts w:ascii="Helvetica" w:hAnsi="Helvetica"/>
          <w:lang w:val="de-CH"/>
        </w:rPr>
        <w:t>,</w:t>
      </w:r>
      <w:r w:rsidR="00D8444E" w:rsidRPr="00082866">
        <w:rPr>
          <w:rFonts w:ascii="Helvetica" w:hAnsi="Helvetica"/>
          <w:lang w:val="de-CH"/>
        </w:rPr>
        <w:t xml:space="preserve"> sagt Alejandro Garcia</w:t>
      </w:r>
      <w:r w:rsidR="00355117" w:rsidRPr="00082866">
        <w:rPr>
          <w:rFonts w:ascii="Helvetica" w:hAnsi="Helvetica"/>
          <w:lang w:val="de-CH"/>
        </w:rPr>
        <w:t>.</w:t>
      </w:r>
      <w:r w:rsidR="0097649B" w:rsidRPr="00082866">
        <w:rPr>
          <w:rFonts w:ascii="Helvetica" w:hAnsi="Helvetica"/>
          <w:lang w:val="de-CH"/>
        </w:rPr>
        <w:t xml:space="preserve"> „Als Familienunternehmen verfolgen wir eine langfristige Strategie</w:t>
      </w:r>
      <w:r w:rsidR="00CE5EFD" w:rsidRPr="00082866">
        <w:rPr>
          <w:rFonts w:ascii="Helvetica" w:hAnsi="Helvetica"/>
          <w:lang w:val="de-CH"/>
        </w:rPr>
        <w:t xml:space="preserve"> und halten weiter</w:t>
      </w:r>
      <w:r w:rsidR="00B00D4A" w:rsidRPr="00082866">
        <w:rPr>
          <w:rFonts w:ascii="Helvetica" w:hAnsi="Helvetica"/>
          <w:lang w:val="de-CH"/>
        </w:rPr>
        <w:t xml:space="preserve"> an Z</w:t>
      </w:r>
      <w:r w:rsidR="00C80BCC" w:rsidRPr="00082866">
        <w:rPr>
          <w:rFonts w:ascii="Helvetica" w:hAnsi="Helvetica"/>
          <w:lang w:val="de-CH"/>
        </w:rPr>
        <w:t>ürich als unserem Standort fest</w:t>
      </w:r>
      <w:r w:rsidR="00CE5EFD" w:rsidRPr="00082866">
        <w:rPr>
          <w:rFonts w:ascii="Helvetica" w:hAnsi="Helvetica"/>
          <w:lang w:val="de-CH"/>
        </w:rPr>
        <w:t xml:space="preserve">, von wo wir </w:t>
      </w:r>
      <w:r w:rsidR="0097649B" w:rsidRPr="00082866">
        <w:rPr>
          <w:rFonts w:ascii="Helvetica" w:hAnsi="Helvetica"/>
          <w:lang w:val="de-CH"/>
        </w:rPr>
        <w:t xml:space="preserve">unser internationales Geschäft </w:t>
      </w:r>
      <w:r w:rsidR="006958FF" w:rsidRPr="00082866">
        <w:rPr>
          <w:rFonts w:ascii="Helvetica" w:hAnsi="Helvetica"/>
          <w:lang w:val="de-CH"/>
        </w:rPr>
        <w:t>weiter ausbauen werden</w:t>
      </w:r>
      <w:r w:rsidR="00C80BCC" w:rsidRPr="00082866">
        <w:rPr>
          <w:rFonts w:ascii="Helvetica" w:hAnsi="Helvetica"/>
          <w:lang w:val="de-CH"/>
        </w:rPr>
        <w:t>.</w:t>
      </w:r>
      <w:r w:rsidR="0097649B" w:rsidRPr="00082866">
        <w:rPr>
          <w:rFonts w:ascii="Helvetica" w:hAnsi="Helvetica"/>
          <w:lang w:val="de-CH"/>
        </w:rPr>
        <w:t xml:space="preserve">“ </w:t>
      </w:r>
    </w:p>
    <w:p w14:paraId="7E7005B4" w14:textId="77777777" w:rsidR="00082866" w:rsidRDefault="00082866" w:rsidP="00E10F93">
      <w:pPr>
        <w:jc w:val="both"/>
        <w:rPr>
          <w:rFonts w:ascii="Helvetica" w:hAnsi="Helvetica"/>
          <w:lang w:val="de-CH"/>
        </w:rPr>
      </w:pPr>
    </w:p>
    <w:p w14:paraId="0AAB31CA" w14:textId="77777777" w:rsidR="00082866" w:rsidRDefault="00082866" w:rsidP="00E10F93">
      <w:pPr>
        <w:jc w:val="both"/>
        <w:rPr>
          <w:rFonts w:ascii="Helvetica" w:hAnsi="Helvetica"/>
          <w:lang w:val="de-CH"/>
        </w:rPr>
      </w:pPr>
      <w:bookmarkStart w:id="0" w:name="_GoBack"/>
      <w:bookmarkEnd w:id="0"/>
    </w:p>
    <w:p w14:paraId="08D539AD" w14:textId="167CB606" w:rsidR="00082866" w:rsidRPr="00082866" w:rsidRDefault="00082866" w:rsidP="00082866">
      <w:pPr>
        <w:rPr>
          <w:rFonts w:ascii="Times New Roman" w:eastAsia="Times New Roman" w:hAnsi="Times New Roman" w:cs="Times New Roman"/>
          <w:lang w:eastAsia="de-DE"/>
        </w:rPr>
      </w:pPr>
      <w:r w:rsidRPr="00082866">
        <w:rPr>
          <w:rFonts w:ascii="Helvetica" w:eastAsia="Times New Roman" w:hAnsi="Helvetica" w:cs="Times New Roman"/>
          <w:b/>
          <w:bCs/>
          <w:color w:val="333333"/>
          <w:sz w:val="22"/>
          <w:szCs w:val="22"/>
          <w:shd w:val="clear" w:color="auto" w:fill="FFFFFF"/>
          <w:lang w:eastAsia="de-DE"/>
        </w:rPr>
        <w:t>Die IXE Gruppe</w:t>
      </w:r>
      <w:r>
        <w:rPr>
          <w:rFonts w:ascii="Helvetica" w:eastAsia="Times New Roman" w:hAnsi="Helvetica" w:cs="Times New Roman"/>
          <w:color w:val="333333"/>
          <w:sz w:val="22"/>
          <w:szCs w:val="22"/>
          <w:lang w:eastAsia="de-DE"/>
        </w:rPr>
        <w:t xml:space="preserve"> </w:t>
      </w:r>
      <w:r w:rsidRPr="00082866">
        <w:rPr>
          <w:rFonts w:ascii="Helvetica" w:eastAsia="Times New Roman" w:hAnsi="Helvetica" w:cs="Times New Roman"/>
          <w:i/>
          <w:iCs/>
          <w:color w:val="333333"/>
          <w:sz w:val="22"/>
          <w:szCs w:val="22"/>
          <w:shd w:val="clear" w:color="auto" w:fill="FFFFFF"/>
          <w:lang w:eastAsia="de-DE"/>
        </w:rPr>
        <w:t>ist ein international tätiges Unternehmen, das organisch aus einem in Lateinamerika verwurzelten Familiengeschäft gewachsen ist und über vier Generationen hinweg aus einem starken unternehmerischen Geist heraus entwickelt wurde. Mit Sitz in Zürich besteht die Gruppe aus Unternehmen weltweit, welche allesamt um ihre zentralen Geschäftseinheiten, d.h. Landwirtschaft, Vermögensverwaltung, Rohstoffhandel und Beteiligungskapital gruppiert sind. Das Unternehmen hat Sitze in Florida und North Carolina mit Vertretungen in Bolivien, Brasilien, Ecuador, Dominikanische Republik, Guatemala, Honduras, Mexiko und Peru.</w:t>
      </w:r>
    </w:p>
    <w:p w14:paraId="2A97BE7E" w14:textId="77777777" w:rsidR="00082866" w:rsidRPr="00082866" w:rsidRDefault="00082866" w:rsidP="00E10F93">
      <w:pPr>
        <w:jc w:val="both"/>
        <w:rPr>
          <w:rFonts w:ascii="Helvetica" w:hAnsi="Helvetica"/>
        </w:rPr>
      </w:pPr>
    </w:p>
    <w:p w14:paraId="0F288ABA" w14:textId="77777777" w:rsidR="0032252E" w:rsidRDefault="0032252E" w:rsidP="004B6AC3">
      <w:pPr>
        <w:jc w:val="both"/>
        <w:outlineLvl w:val="0"/>
        <w:rPr>
          <w:rFonts w:ascii="Helvetica" w:hAnsi="Helvetica"/>
          <w:lang w:val="de-CH"/>
        </w:rPr>
      </w:pPr>
    </w:p>
    <w:p w14:paraId="6C716D1A" w14:textId="77777777" w:rsidR="00082866" w:rsidRDefault="00082866" w:rsidP="004B6AC3">
      <w:pPr>
        <w:jc w:val="both"/>
        <w:outlineLvl w:val="0"/>
        <w:rPr>
          <w:rFonts w:ascii="Helvetica" w:hAnsi="Helvetica"/>
          <w:lang w:val="de-CH"/>
        </w:rPr>
      </w:pPr>
    </w:p>
    <w:p w14:paraId="567369BE" w14:textId="77777777" w:rsidR="00082866" w:rsidRDefault="00082866" w:rsidP="004B6AC3">
      <w:pPr>
        <w:jc w:val="both"/>
        <w:outlineLvl w:val="0"/>
        <w:rPr>
          <w:rFonts w:ascii="Helvetica" w:hAnsi="Helvetica"/>
          <w:lang w:val="de-CH"/>
        </w:rPr>
      </w:pPr>
    </w:p>
    <w:p w14:paraId="24AC7C0F" w14:textId="77777777" w:rsidR="00082866" w:rsidRPr="00082866" w:rsidRDefault="00082866" w:rsidP="004B6AC3">
      <w:pPr>
        <w:jc w:val="both"/>
        <w:outlineLvl w:val="0"/>
        <w:rPr>
          <w:rFonts w:ascii="Helvetica" w:hAnsi="Helvetica"/>
          <w:lang w:val="de-CH"/>
        </w:rPr>
      </w:pPr>
    </w:p>
    <w:p w14:paraId="4B1E6C04" w14:textId="083CDD91" w:rsidR="00322B18" w:rsidRPr="00082866" w:rsidRDefault="00355117" w:rsidP="00082866">
      <w:pPr>
        <w:outlineLvl w:val="0"/>
        <w:rPr>
          <w:rFonts w:ascii="Helvetica" w:hAnsi="Helvetica"/>
          <w:lang w:val="de-CH"/>
        </w:rPr>
      </w:pPr>
      <w:r w:rsidRPr="00082866">
        <w:rPr>
          <w:rFonts w:ascii="Helvetica" w:hAnsi="Helvetica"/>
          <w:lang w:val="de-CH"/>
        </w:rPr>
        <w:t>Medienkontakt: Sparring Partners GmbH, Bernhard Bauhofer</w:t>
      </w:r>
      <w:r w:rsidR="00082866">
        <w:rPr>
          <w:rFonts w:ascii="Helvetica" w:hAnsi="Helvetica"/>
          <w:lang w:val="de-CH"/>
        </w:rPr>
        <w:t xml:space="preserve">; </w:t>
      </w:r>
      <w:r w:rsidR="00C80BCC" w:rsidRPr="00082866">
        <w:rPr>
          <w:rFonts w:ascii="Helvetica" w:hAnsi="Helvetica"/>
          <w:lang w:val="de-CH"/>
        </w:rPr>
        <w:t>bauhofer@sparringpartners.ch</w:t>
      </w:r>
      <w:r w:rsidR="004E06F0" w:rsidRPr="00082866">
        <w:rPr>
          <w:rFonts w:ascii="Helvetica" w:hAnsi="Helvetica"/>
          <w:lang w:val="de-CH"/>
        </w:rPr>
        <w:t>; +4143 888 27 04</w:t>
      </w:r>
    </w:p>
    <w:p w14:paraId="6922C518" w14:textId="77777777" w:rsidR="00FE7B01" w:rsidRPr="008B2072" w:rsidRDefault="001A6719" w:rsidP="00E10F93">
      <w:pPr>
        <w:jc w:val="both"/>
        <w:rPr>
          <w:rFonts w:ascii="Helvetica" w:hAnsi="Helvetica"/>
          <w:sz w:val="22"/>
          <w:szCs w:val="28"/>
          <w:lang w:val="de-CH"/>
        </w:rPr>
      </w:pPr>
      <w:r w:rsidRPr="008B2072">
        <w:rPr>
          <w:rFonts w:ascii="Helvetica" w:hAnsi="Helvetica"/>
          <w:sz w:val="22"/>
          <w:szCs w:val="28"/>
          <w:lang w:val="de-CH"/>
        </w:rPr>
        <w:t xml:space="preserve"> </w:t>
      </w:r>
      <w:r w:rsidR="003309C2" w:rsidRPr="008B2072">
        <w:rPr>
          <w:rFonts w:ascii="Helvetica" w:hAnsi="Helvetica"/>
          <w:sz w:val="22"/>
          <w:szCs w:val="28"/>
          <w:lang w:val="de-CH"/>
        </w:rPr>
        <w:t xml:space="preserve"> </w:t>
      </w:r>
    </w:p>
    <w:sectPr w:rsidR="00FE7B01" w:rsidRPr="008B2072" w:rsidSect="004C3352">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E0EE8" w14:textId="77777777" w:rsidR="00D3569A" w:rsidRDefault="00D3569A" w:rsidP="004B6AC3">
      <w:r>
        <w:separator/>
      </w:r>
    </w:p>
  </w:endnote>
  <w:endnote w:type="continuationSeparator" w:id="0">
    <w:p w14:paraId="4BEDF4E9" w14:textId="77777777" w:rsidR="00D3569A" w:rsidRDefault="00D3569A" w:rsidP="004B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18710" w14:textId="77777777" w:rsidR="00D3569A" w:rsidRDefault="00D3569A" w:rsidP="004B6AC3">
      <w:r>
        <w:separator/>
      </w:r>
    </w:p>
  </w:footnote>
  <w:footnote w:type="continuationSeparator" w:id="0">
    <w:p w14:paraId="745B73C2" w14:textId="77777777" w:rsidR="00D3569A" w:rsidRDefault="00D3569A" w:rsidP="004B6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21D6D" w14:textId="6D868871" w:rsidR="004B6AC3" w:rsidRPr="004B6AC3" w:rsidRDefault="004B6AC3" w:rsidP="004B6AC3">
    <w:pPr>
      <w:rPr>
        <w:rFonts w:ascii="Times New Roman" w:eastAsia="Times New Roman" w:hAnsi="Times New Roman" w:cs="Times New Roman"/>
        <w:lang w:eastAsia="de-DE"/>
      </w:rPr>
    </w:pPr>
    <w:r w:rsidRPr="004B6AC3">
      <w:rPr>
        <w:rFonts w:ascii="Times New Roman" w:eastAsia="Times New Roman" w:hAnsi="Times New Roman" w:cs="Times New Roman"/>
        <w:noProof/>
        <w:color w:val="0000FF"/>
        <w:lang w:eastAsia="de-DE"/>
      </w:rPr>
      <w:drawing>
        <wp:inline distT="0" distB="0" distL="0" distR="0" wp14:anchorId="03F058FA" wp14:editId="5A1833C2">
          <wp:extent cx="2918460" cy="657860"/>
          <wp:effectExtent l="0" t="0" r="2540" b="2540"/>
          <wp:docPr id="1" name="Bild 1" descr="http://www.ixe-group.com/extension/ixe/design/ixe/images/logo.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xe-group.com/extension/ixe/design/ixe/images/logo.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8460" cy="657860"/>
                  </a:xfrm>
                  <a:prstGeom prst="rect">
                    <a:avLst/>
                  </a:prstGeom>
                  <a:noFill/>
                  <a:ln>
                    <a:noFill/>
                  </a:ln>
                </pic:spPr>
              </pic:pic>
            </a:graphicData>
          </a:graphic>
        </wp:inline>
      </w:drawing>
    </w:r>
  </w:p>
  <w:p w14:paraId="4B0A5B59" w14:textId="77777777" w:rsidR="004B6AC3" w:rsidRDefault="004B6AC3">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D32835"/>
    <w:multiLevelType w:val="hybridMultilevel"/>
    <w:tmpl w:val="A728221E"/>
    <w:lvl w:ilvl="0" w:tplc="13723878">
      <w:start w:val="201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01"/>
    <w:rsid w:val="000056B4"/>
    <w:rsid w:val="00016BA8"/>
    <w:rsid w:val="00072B7F"/>
    <w:rsid w:val="00082866"/>
    <w:rsid w:val="00093199"/>
    <w:rsid w:val="000A20EB"/>
    <w:rsid w:val="000F46E6"/>
    <w:rsid w:val="001068B3"/>
    <w:rsid w:val="00121FCB"/>
    <w:rsid w:val="001A6719"/>
    <w:rsid w:val="002017BE"/>
    <w:rsid w:val="00242996"/>
    <w:rsid w:val="002435AB"/>
    <w:rsid w:val="00251EBE"/>
    <w:rsid w:val="002539EE"/>
    <w:rsid w:val="002558BA"/>
    <w:rsid w:val="002816B0"/>
    <w:rsid w:val="002B04EB"/>
    <w:rsid w:val="002E0A09"/>
    <w:rsid w:val="003165F4"/>
    <w:rsid w:val="0032252E"/>
    <w:rsid w:val="00322B18"/>
    <w:rsid w:val="003309C2"/>
    <w:rsid w:val="00335B7E"/>
    <w:rsid w:val="00355117"/>
    <w:rsid w:val="003F1AA7"/>
    <w:rsid w:val="003F4A74"/>
    <w:rsid w:val="00413D97"/>
    <w:rsid w:val="00427B86"/>
    <w:rsid w:val="00466992"/>
    <w:rsid w:val="004A5494"/>
    <w:rsid w:val="004A7B21"/>
    <w:rsid w:val="004B6AC3"/>
    <w:rsid w:val="004C3352"/>
    <w:rsid w:val="004E06F0"/>
    <w:rsid w:val="0057497D"/>
    <w:rsid w:val="00575BC4"/>
    <w:rsid w:val="005C7787"/>
    <w:rsid w:val="005E067F"/>
    <w:rsid w:val="005F0EEA"/>
    <w:rsid w:val="00623B9A"/>
    <w:rsid w:val="0062670D"/>
    <w:rsid w:val="00642703"/>
    <w:rsid w:val="00662878"/>
    <w:rsid w:val="00674AB3"/>
    <w:rsid w:val="006958FF"/>
    <w:rsid w:val="00735B3F"/>
    <w:rsid w:val="007672D9"/>
    <w:rsid w:val="00783CA3"/>
    <w:rsid w:val="0079131C"/>
    <w:rsid w:val="007A33D0"/>
    <w:rsid w:val="007C7905"/>
    <w:rsid w:val="008361F2"/>
    <w:rsid w:val="008B2072"/>
    <w:rsid w:val="00910FA0"/>
    <w:rsid w:val="00923A0C"/>
    <w:rsid w:val="0097649B"/>
    <w:rsid w:val="009823A1"/>
    <w:rsid w:val="00991B28"/>
    <w:rsid w:val="009A127D"/>
    <w:rsid w:val="009C6655"/>
    <w:rsid w:val="009D1E95"/>
    <w:rsid w:val="009F21EC"/>
    <w:rsid w:val="00A01605"/>
    <w:rsid w:val="00A13249"/>
    <w:rsid w:val="00A159DC"/>
    <w:rsid w:val="00A455CA"/>
    <w:rsid w:val="00A6765A"/>
    <w:rsid w:val="00A84A20"/>
    <w:rsid w:val="00AD7BB2"/>
    <w:rsid w:val="00B00BC9"/>
    <w:rsid w:val="00B00D4A"/>
    <w:rsid w:val="00B07F61"/>
    <w:rsid w:val="00B55AC3"/>
    <w:rsid w:val="00B91396"/>
    <w:rsid w:val="00BA2275"/>
    <w:rsid w:val="00BC76B0"/>
    <w:rsid w:val="00BF6F7F"/>
    <w:rsid w:val="00C80BCC"/>
    <w:rsid w:val="00CD57B2"/>
    <w:rsid w:val="00CE5EFD"/>
    <w:rsid w:val="00D23EA3"/>
    <w:rsid w:val="00D3569A"/>
    <w:rsid w:val="00D75CE2"/>
    <w:rsid w:val="00D8444E"/>
    <w:rsid w:val="00E10F93"/>
    <w:rsid w:val="00E40516"/>
    <w:rsid w:val="00E57FC8"/>
    <w:rsid w:val="00E75627"/>
    <w:rsid w:val="00EA0B34"/>
    <w:rsid w:val="00ED01B9"/>
    <w:rsid w:val="00F10ED4"/>
    <w:rsid w:val="00F42369"/>
    <w:rsid w:val="00F574CB"/>
    <w:rsid w:val="00F70143"/>
    <w:rsid w:val="00F84C71"/>
    <w:rsid w:val="00F9564F"/>
    <w:rsid w:val="00FA3D1F"/>
    <w:rsid w:val="00FD5D9B"/>
    <w:rsid w:val="00FE7B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A0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558BA"/>
    <w:pPr>
      <w:ind w:left="720"/>
      <w:contextualSpacing/>
    </w:pPr>
  </w:style>
  <w:style w:type="character" w:styleId="Link">
    <w:name w:val="Hyperlink"/>
    <w:basedOn w:val="Absatz-Standardschriftart"/>
    <w:uiPriority w:val="99"/>
    <w:unhideWhenUsed/>
    <w:rsid w:val="00B00D4A"/>
    <w:rPr>
      <w:color w:val="0563C1" w:themeColor="hyperlink"/>
      <w:u w:val="single"/>
    </w:rPr>
  </w:style>
  <w:style w:type="paragraph" w:styleId="Kopfzeile">
    <w:name w:val="header"/>
    <w:basedOn w:val="Standard"/>
    <w:link w:val="KopfzeileZchn"/>
    <w:uiPriority w:val="99"/>
    <w:unhideWhenUsed/>
    <w:rsid w:val="004B6AC3"/>
    <w:pPr>
      <w:tabs>
        <w:tab w:val="center" w:pos="4536"/>
        <w:tab w:val="right" w:pos="9072"/>
      </w:tabs>
    </w:pPr>
  </w:style>
  <w:style w:type="character" w:customStyle="1" w:styleId="KopfzeileZchn">
    <w:name w:val="Kopfzeile Zchn"/>
    <w:basedOn w:val="Absatz-Standardschriftart"/>
    <w:link w:val="Kopfzeile"/>
    <w:uiPriority w:val="99"/>
    <w:rsid w:val="004B6AC3"/>
  </w:style>
  <w:style w:type="paragraph" w:styleId="Fuzeile">
    <w:name w:val="footer"/>
    <w:basedOn w:val="Standard"/>
    <w:link w:val="FuzeileZchn"/>
    <w:uiPriority w:val="99"/>
    <w:unhideWhenUsed/>
    <w:rsid w:val="004B6AC3"/>
    <w:pPr>
      <w:tabs>
        <w:tab w:val="center" w:pos="4536"/>
        <w:tab w:val="right" w:pos="9072"/>
      </w:tabs>
    </w:pPr>
  </w:style>
  <w:style w:type="character" w:customStyle="1" w:styleId="FuzeileZchn">
    <w:name w:val="Fußzeile Zchn"/>
    <w:basedOn w:val="Absatz-Standardschriftart"/>
    <w:link w:val="Fuzeile"/>
    <w:uiPriority w:val="99"/>
    <w:rsid w:val="004B6AC3"/>
  </w:style>
  <w:style w:type="character" w:styleId="Fett">
    <w:name w:val="Strong"/>
    <w:basedOn w:val="Absatz-Standardschriftart"/>
    <w:uiPriority w:val="22"/>
    <w:qFormat/>
    <w:rsid w:val="00082866"/>
    <w:rPr>
      <w:b/>
      <w:bCs/>
    </w:rPr>
  </w:style>
  <w:style w:type="character" w:styleId="Hervorhebung">
    <w:name w:val="Emphasis"/>
    <w:basedOn w:val="Absatz-Standardschriftart"/>
    <w:uiPriority w:val="20"/>
    <w:qFormat/>
    <w:rsid w:val="000828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975940">
      <w:bodyDiv w:val="1"/>
      <w:marLeft w:val="0"/>
      <w:marRight w:val="0"/>
      <w:marTop w:val="0"/>
      <w:marBottom w:val="0"/>
      <w:divBdr>
        <w:top w:val="none" w:sz="0" w:space="0" w:color="auto"/>
        <w:left w:val="none" w:sz="0" w:space="0" w:color="auto"/>
        <w:bottom w:val="none" w:sz="0" w:space="0" w:color="auto"/>
        <w:right w:val="none" w:sz="0" w:space="0" w:color="auto"/>
      </w:divBdr>
      <w:divsChild>
        <w:div w:id="2079479365">
          <w:marLeft w:val="0"/>
          <w:marRight w:val="0"/>
          <w:marTop w:val="0"/>
          <w:marBottom w:val="0"/>
          <w:divBdr>
            <w:top w:val="none" w:sz="0" w:space="0" w:color="auto"/>
            <w:left w:val="none" w:sz="0" w:space="0" w:color="auto"/>
            <w:bottom w:val="none" w:sz="0" w:space="0" w:color="auto"/>
            <w:right w:val="none" w:sz="0" w:space="0" w:color="auto"/>
          </w:divBdr>
        </w:div>
      </w:divsChild>
    </w:div>
    <w:div w:id="10602032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http://www.ixe-group.com/" TargetMode="External"/><Relationship Id="rId2"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3460</Characters>
  <Application>Microsoft Macintosh Word</Application>
  <DocSecurity>0</DocSecurity>
  <Lines>28</Lines>
  <Paragraphs>8</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
      <vt:lpstr/>
      <vt:lpstr>An die Medien</vt:lpstr>
      <vt:lpstr>Zur sofortigen Veröffentlichung</vt:lpstr>
      <vt:lpstr>Ungerechtfertigte Reputationsschäden für Investor</vt:lpstr>
      <vt:lpstr>Bankakquisition war strategischer Entscheid</vt:lpstr>
      <vt:lpstr>Vollumfängliche Rehabilitierung, späte Genugtuung </vt:lpstr>
      <vt:lpstr/>
      <vt:lpstr>Medienkontakt: Sparring Partners GmbH, Bernhard Bauhofer; bauhofer@sparringpartn</vt:lpstr>
    </vt:vector>
  </TitlesOfParts>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Bauhofer</dc:creator>
  <cp:keywords/>
  <dc:description/>
  <cp:lastModifiedBy>Bernhard Bauhofer</cp:lastModifiedBy>
  <cp:revision>2</cp:revision>
  <cp:lastPrinted>2019-01-15T15:50:00Z</cp:lastPrinted>
  <dcterms:created xsi:type="dcterms:W3CDTF">2019-01-16T06:39:00Z</dcterms:created>
  <dcterms:modified xsi:type="dcterms:W3CDTF">2019-01-16T06:39:00Z</dcterms:modified>
</cp:coreProperties>
</file>